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18"/>
        <w:jc w:val="center"/>
      </w:pPr>
      <w:r>
        <w:rPr>
          <w:rFonts w:ascii="Arial" w:hAnsi="Arial"/>
          <w:b/>
          <w:color w:val="1A3A5C"/>
          <w:sz w:val="44"/>
        </w:rPr>
        <w:t>AASHNA SETHI</w:t>
      </w:r>
    </w:p>
    <w:p>
      <w:pPr>
        <w:spacing w:before="0" w:after="14"/>
        <w:jc w:val="center"/>
      </w:pPr>
      <w:r>
        <w:rPr>
          <w:b/>
          <w:color w:val="44546A"/>
          <w:sz w:val="21"/>
        </w:rPr>
        <w:t>AI Platform Engineer  ·  AI Governance</w:t>
      </w:r>
    </w:p>
    <w:p>
      <w:pPr>
        <w:spacing w:before="0" w:after="24"/>
        <w:jc w:val="center"/>
      </w:pPr>
      <w:r>
        <w:rPr>
          <w:color w:val="44546A"/>
          <w:sz w:val="19"/>
        </w:rPr>
        <w:t>Vancouver, BC  ·  askaashna@gmail.com  ·  linkedin.com/in/aashnasethii</w:t>
      </w:r>
    </w:p>
    <w:p>
      <w:pPr>
        <w:spacing w:before="0" w:after="120"/>
        <w:pBdr>
          <w:bottom w:val="single" w:sz="18" w:space="4" w:color="1A3A5C"/>
        </w:pBdr>
      </w:pPr>
    </w:p>
    <w:p>
      <w:pPr>
        <w:spacing w:before="0" w:after="80" w:line="276" w:lineRule="auto"/>
      </w:pPr>
      <w:r>
        <w:rPr>
          <w:color w:val="1A1A1A"/>
          <w:sz w:val="20"/>
        </w:rPr>
        <w:t>Platform engineer who builds AI infrastructure and governs it. Architected and shipped a production AI platform — full-stack, deployed, actively used — using Claude, Claude Code, and GitHub. Designed the governance layer on top: policy, risk controls, agent guardrails, and ISO 42001 certification. Background spans SaaS, MarTech, and enterprise environments. Fluent in the language of Security and Engineering teams, and in the regulatory frameworks (GDPR, HIPAA, SOC 2, EU AI Act) that shape what responsible AI tooling actually requires.</w:t>
      </w:r>
    </w:p>
    <w:p>
      <w:pPr>
        <w:spacing w:before="130" w:after="44"/>
        <w:pBdr>
          <w:bottom w:val="single" w:sz="12" w:space="4" w:color="1A3A5C"/>
        </w:pBdr>
      </w:pPr>
      <w:r>
        <w:rPr>
          <w:rFonts w:ascii="Arial" w:hAnsi="Arial"/>
          <w:b/>
          <w:color w:val="1A3A5C"/>
          <w:sz w:val="19"/>
        </w:rPr>
        <w:t>TECHNICAL SKILLS</w:t>
      </w:r>
    </w:p>
    <w:p>
      <w:pPr>
        <w:spacing w:before="20" w:after="20" w:line="240" w:lineRule="auto"/>
      </w:pPr>
      <w:r>
        <w:rPr>
          <w:b/>
          <w:color w:val="1A3A5C"/>
          <w:sz w:val="20"/>
        </w:rPr>
        <w:t xml:space="preserve">Languages &amp; Frameworks: </w:t>
      </w:r>
      <w:r>
        <w:rPr>
          <w:color w:val="1A1A1A"/>
          <w:sz w:val="20"/>
        </w:rPr>
        <w:t>JavaScript, Next.js, REST APIs, HTML/CSS</w:t>
      </w:r>
    </w:p>
    <w:p>
      <w:pPr>
        <w:spacing w:before="20" w:after="20" w:line="240" w:lineRule="auto"/>
      </w:pPr>
      <w:r>
        <w:rPr>
          <w:b/>
          <w:color w:val="1A3A5C"/>
          <w:sz w:val="20"/>
        </w:rPr>
        <w:t xml:space="preserve">AI Platforms &amp; Tools: </w:t>
      </w:r>
      <w:r>
        <w:rPr>
          <w:color w:val="1A1A1A"/>
          <w:sz w:val="20"/>
        </w:rPr>
        <w:t>Claude, Claude Code, GitHub Copilot, OpenAI, Codex, Cursor</w:t>
      </w:r>
    </w:p>
    <w:p>
      <w:pPr>
        <w:spacing w:before="20" w:after="20" w:line="240" w:lineRule="auto"/>
      </w:pPr>
      <w:r>
        <w:rPr>
          <w:b/>
          <w:color w:val="1A3A5C"/>
          <w:sz w:val="20"/>
        </w:rPr>
        <w:t xml:space="preserve">Dev &amp; Deployment: </w:t>
      </w:r>
      <w:r>
        <w:rPr>
          <w:color w:val="1A1A1A"/>
          <w:sz w:val="20"/>
        </w:rPr>
        <w:t>GitHub, Git, CI/CD pipelines, web application deployment</w:t>
      </w:r>
    </w:p>
    <w:p>
      <w:pPr>
        <w:spacing w:before="20" w:after="20" w:line="240" w:lineRule="auto"/>
      </w:pPr>
      <w:r>
        <w:rPr>
          <w:b/>
          <w:color w:val="1A3A5C"/>
          <w:sz w:val="20"/>
        </w:rPr>
        <w:t xml:space="preserve">GRC &amp; Compliance Tools: </w:t>
      </w:r>
      <w:r>
        <w:rPr>
          <w:color w:val="1A1A1A"/>
          <w:sz w:val="20"/>
        </w:rPr>
        <w:t>Drata, Vanta, Confluence</w:t>
      </w:r>
    </w:p>
    <w:p>
      <w:pPr>
        <w:spacing w:before="20" w:after="20" w:line="240" w:lineRule="auto"/>
      </w:pPr>
      <w:r>
        <w:rPr>
          <w:b/>
          <w:color w:val="1A3A5C"/>
          <w:sz w:val="20"/>
        </w:rPr>
        <w:t xml:space="preserve">Standards &amp; Frameworks: </w:t>
      </w:r>
      <w:r>
        <w:rPr>
          <w:color w:val="1A1A1A"/>
          <w:sz w:val="20"/>
        </w:rPr>
        <w:t>ISO 42001, SOC 2, GDPR, HIPAA, CCPA/CPRA, PIPEDA, EU AI Act, PCI-DSS</w:t>
      </w:r>
    </w:p>
    <w:p>
      <w:pPr>
        <w:spacing w:before="130" w:after="44"/>
        <w:pBdr>
          <w:bottom w:val="single" w:sz="12" w:space="4" w:color="1A3A5C"/>
        </w:pBdr>
      </w:pPr>
      <w:r>
        <w:rPr>
          <w:rFonts w:ascii="Arial" w:hAnsi="Arial"/>
          <w:b/>
          <w:color w:val="1A3A5C"/>
          <w:sz w:val="19"/>
        </w:rPr>
        <w:t>EXPERIENCE</w:t>
      </w:r>
    </w:p>
    <w:p>
      <w:pPr>
        <w:spacing w:before="80" w:after="20"/>
        <w:tabs>
          <w:tab w:val="right" w:pos="9072"/>
        </w:tabs>
      </w:pPr>
      <w:r>
        <w:rPr>
          <w:b/>
          <w:color w:val="1A3A5C"/>
          <w:sz w:val="21"/>
        </w:rPr>
        <w:t>AI Platform Engineer  |  AI &amp; Privacy Analyst</w:t>
      </w:r>
      <w:r>
        <w:rPr>
          <w:color w:val="44546A"/>
          <w:sz w:val="20"/>
        </w:rPr>
        <w:t xml:space="preserve">  |  </w:t>
      </w:r>
      <w:r>
        <w:rPr>
          <w:color w:val="44546A"/>
          <w:sz w:val="20"/>
        </w:rPr>
        <w:t>SOCi — Vancouver, BC</w:t>
      </w:r>
      <w:r>
        <w:rPr>
          <w:i/>
          <w:color w:val="44546A"/>
          <w:sz w:val="19"/>
        </w:rPr>
        <w:tab/>
        <w:t>2025 – Present</w:t>
      </w:r>
    </w:p>
    <w:p>
      <w:pPr>
        <w:spacing w:before="22" w:after="22" w:line="240" w:lineRule="auto"/>
        <w:ind w:left="360" w:hanging="180"/>
      </w:pPr>
      <w:r>
        <w:rPr>
          <w:color w:val="1A3A5C"/>
          <w:sz w:val="20"/>
        </w:rPr>
        <w:t xml:space="preserve">• </w:t>
      </w:r>
      <w:r>
        <w:rPr>
          <w:color w:val="1A1A1A"/>
          <w:sz w:val="20"/>
        </w:rPr>
        <w:t>Architected and shipped a full-stack AI platform from zero — production-grade, deployed company-wide, built entirely with Next.js, Claude, Claude Code, and GitHub. The platform serves as the organization's central infrastructure for AI tool management, governance enforcement, vendor risk review, and team enablement.</w:t>
      </w:r>
    </w:p>
    <w:p>
      <w:pPr>
        <w:spacing w:before="22" w:after="22" w:line="240" w:lineRule="auto"/>
        <w:ind w:left="360" w:hanging="180"/>
      </w:pPr>
      <w:r>
        <w:rPr>
          <w:color w:val="1A3A5C"/>
          <w:sz w:val="20"/>
        </w:rPr>
        <w:t xml:space="preserve">• </w:t>
      </w:r>
      <w:r>
        <w:rPr>
          <w:color w:val="1A1A1A"/>
          <w:sz w:val="20"/>
        </w:rPr>
        <w:t>Engineered multiple platform modules including an AI agent approval system with automated email workflows, a vendor security review tool powered by Claude, a compliance co-pilot for answering security questionnaires, and an internal agent registry with intake and risk-tier classification.</w:t>
      </w:r>
    </w:p>
    <w:p>
      <w:pPr>
        <w:spacing w:before="22" w:after="22" w:line="240" w:lineRule="auto"/>
        <w:ind w:left="360" w:hanging="180"/>
      </w:pPr>
      <w:r>
        <w:rPr>
          <w:color w:val="1A3A5C"/>
          <w:sz w:val="20"/>
        </w:rPr>
        <w:t xml:space="preserve">• </w:t>
      </w:r>
      <w:r>
        <w:rPr>
          <w:color w:val="1A1A1A"/>
          <w:sz w:val="20"/>
        </w:rPr>
        <w:t>Designed and enforced AI governance controls across the organization: authored policy, defined risk tiers, built agent intake workflows, and established guardrails for GitHub Copilot and other AI coding tools — balancing developer velocity with security and compliance requirements.</w:t>
      </w:r>
    </w:p>
    <w:p>
      <w:pPr>
        <w:spacing w:before="22" w:after="22" w:line="240" w:lineRule="auto"/>
        <w:ind w:left="360" w:hanging="180"/>
      </w:pPr>
      <w:r>
        <w:rPr>
          <w:color w:val="1A3A5C"/>
          <w:sz w:val="20"/>
        </w:rPr>
        <w:t xml:space="preserve">• </w:t>
      </w:r>
      <w:r>
        <w:rPr>
          <w:color w:val="1A1A1A"/>
          <w:sz w:val="20"/>
        </w:rPr>
        <w:t>Built and launched a company-wide AI training program: interactive web-based course with assessment, certification, and result tracking; live multi-track curriculum ranging from AI fundamentals to Claude Code for engineers.</w:t>
      </w:r>
    </w:p>
    <w:p>
      <w:pPr>
        <w:spacing w:before="22" w:after="22" w:line="240" w:lineRule="auto"/>
        <w:ind w:left="360" w:hanging="180"/>
      </w:pPr>
      <w:r>
        <w:rPr>
          <w:color w:val="1A3A5C"/>
          <w:sz w:val="20"/>
        </w:rPr>
        <w:t xml:space="preserve">• </w:t>
      </w:r>
      <w:r>
        <w:rPr>
          <w:color w:val="1A1A1A"/>
          <w:sz w:val="20"/>
        </w:rPr>
        <w:t>Collaborated directly with Security and Engineering leads to define standards for AI tool adoption, assess vendor security postures, and ship governance infrastructure that teams could actually use.</w:t>
      </w:r>
    </w:p>
    <w:p>
      <w:pPr>
        <w:spacing w:before="80" w:after="20"/>
        <w:tabs>
          <w:tab w:val="right" w:pos="9072"/>
        </w:tabs>
      </w:pPr>
      <w:r>
        <w:rPr>
          <w:b/>
          <w:color w:val="1A3A5C"/>
          <w:sz w:val="21"/>
        </w:rPr>
        <w:t>Data Privacy &amp; Compliance Specialist  |  DPO</w:t>
      </w:r>
      <w:r>
        <w:rPr>
          <w:color w:val="44546A"/>
          <w:sz w:val="20"/>
        </w:rPr>
        <w:t xml:space="preserve">  |  </w:t>
      </w:r>
      <w:r>
        <w:rPr>
          <w:color w:val="44546A"/>
          <w:sz w:val="20"/>
        </w:rPr>
        <w:t>Unbounce / Insightly / LeadsRx — Vancouver, BC</w:t>
      </w:r>
      <w:r>
        <w:rPr>
          <w:i/>
          <w:color w:val="44546A"/>
          <w:sz w:val="19"/>
        </w:rPr>
        <w:tab/>
        <w:t>Dec 2022 – Jun 2025</w:t>
      </w:r>
    </w:p>
    <w:p>
      <w:pPr>
        <w:spacing w:before="22" w:after="22" w:line="240" w:lineRule="auto"/>
        <w:ind w:left="360" w:hanging="180"/>
      </w:pPr>
      <w:r>
        <w:rPr>
          <w:color w:val="1A3A5C"/>
          <w:sz w:val="20"/>
        </w:rPr>
        <w:t xml:space="preserve">• </w:t>
      </w:r>
      <w:r>
        <w:rPr>
          <w:color w:val="1A1A1A"/>
          <w:sz w:val="20"/>
        </w:rPr>
        <w:t>Led ISO 42001 (AI Management System) certification — scoped the program, built the technical compliance infrastructure, coordinated across Legal, Engineering, and Product, and drove the audit to successful certification. One of the earliest SaaS organizations to achieve this standard.</w:t>
      </w:r>
    </w:p>
    <w:p>
      <w:pPr>
        <w:spacing w:before="22" w:after="22" w:line="240" w:lineRule="auto"/>
        <w:ind w:left="360" w:hanging="180"/>
      </w:pPr>
      <w:r>
        <w:rPr>
          <w:color w:val="1A3A5C"/>
          <w:sz w:val="20"/>
        </w:rPr>
        <w:t xml:space="preserve">• </w:t>
      </w:r>
      <w:r>
        <w:rPr>
          <w:color w:val="1A1A1A"/>
          <w:sz w:val="20"/>
        </w:rPr>
        <w:t>Acted as DPO across three SaaS brands; governed AI feature rollouts by conducting DPIAs, reviewing AI vendor security postures, and enforcing compliance controls on ML-powered product capabilities.</w:t>
      </w:r>
    </w:p>
    <w:p>
      <w:pPr>
        <w:spacing w:before="22" w:after="22" w:line="240" w:lineRule="auto"/>
        <w:ind w:left="360" w:hanging="180"/>
      </w:pPr>
      <w:r>
        <w:rPr>
          <w:color w:val="1A3A5C"/>
          <w:sz w:val="20"/>
        </w:rPr>
        <w:t xml:space="preserve">• </w:t>
      </w:r>
      <w:r>
        <w:rPr>
          <w:color w:val="1A1A1A"/>
          <w:sz w:val="20"/>
        </w:rPr>
        <w:t>Operationalized SOC 2 and GDPR compliance infrastructure using Drata and Vanta — automating evidence collection, vendor risk workflows, and audit readiness across engineering and product teams.</w:t>
      </w:r>
    </w:p>
    <w:p>
      <w:pPr>
        <w:spacing w:before="22" w:after="22" w:line="240" w:lineRule="auto"/>
        <w:ind w:left="360" w:hanging="180"/>
      </w:pPr>
      <w:r>
        <w:rPr>
          <w:color w:val="1A3A5C"/>
          <w:sz w:val="20"/>
        </w:rPr>
        <w:t xml:space="preserve">• </w:t>
      </w:r>
      <w:r>
        <w:rPr>
          <w:color w:val="1A1A1A"/>
          <w:sz w:val="20"/>
        </w:rPr>
        <w:t>Partnered with Engineering on privacy-by-design implementation, translating regulatory requirements into technical controls embedded in the product development lifecycle.</w:t>
      </w:r>
    </w:p>
    <w:p>
      <w:pPr>
        <w:spacing w:before="80" w:after="20"/>
        <w:tabs>
          <w:tab w:val="right" w:pos="9072"/>
        </w:tabs>
      </w:pPr>
      <w:r>
        <w:rPr>
          <w:b/>
          <w:color w:val="1A3A5C"/>
          <w:sz w:val="21"/>
        </w:rPr>
        <w:t>Head of Compliance</w:t>
      </w:r>
      <w:r>
        <w:rPr>
          <w:color w:val="44546A"/>
          <w:sz w:val="20"/>
        </w:rPr>
        <w:t xml:space="preserve">  |  </w:t>
      </w:r>
      <w:r>
        <w:rPr>
          <w:color w:val="44546A"/>
          <w:sz w:val="20"/>
        </w:rPr>
        <w:t>AIM Associates — Remote</w:t>
      </w:r>
      <w:r>
        <w:rPr>
          <w:i/>
          <w:color w:val="44546A"/>
          <w:sz w:val="19"/>
        </w:rPr>
        <w:tab/>
        <w:t>Nov 2021 – Nov 2022</w:t>
      </w:r>
    </w:p>
    <w:p>
      <w:pPr>
        <w:spacing w:before="22" w:after="22" w:line="240" w:lineRule="auto"/>
        <w:ind w:left="360" w:hanging="180"/>
      </w:pPr>
      <w:r>
        <w:rPr>
          <w:color w:val="1A3A5C"/>
          <w:sz w:val="20"/>
        </w:rPr>
        <w:t xml:space="preserve">• </w:t>
      </w:r>
      <w:r>
        <w:rPr>
          <w:color w:val="1A1A1A"/>
          <w:sz w:val="20"/>
        </w:rPr>
        <w:t>Built AI and data compliance frameworks for clients across SaaS, finance, and education — including vendor risk reviews, breach response infrastructure, and regulatory gap assessments under GDPR, SOC 2, and PCI-DSS.</w:t>
      </w:r>
    </w:p>
    <w:p>
      <w:pPr>
        <w:spacing w:before="80" w:after="20"/>
        <w:tabs>
          <w:tab w:val="right" w:pos="9072"/>
        </w:tabs>
      </w:pPr>
      <w:r>
        <w:rPr>
          <w:b/>
          <w:color w:val="1A3A5C"/>
          <w:sz w:val="21"/>
        </w:rPr>
        <w:t>Privacy &amp; Compliance Consultant</w:t>
      </w:r>
      <w:r>
        <w:rPr>
          <w:color w:val="44546A"/>
          <w:sz w:val="20"/>
        </w:rPr>
        <w:t xml:space="preserve">  |  </w:t>
      </w:r>
      <w:r>
        <w:rPr>
          <w:color w:val="44546A"/>
          <w:sz w:val="20"/>
        </w:rPr>
        <w:t>Independent — Global Clients</w:t>
      </w:r>
      <w:r>
        <w:rPr>
          <w:i/>
          <w:color w:val="44546A"/>
          <w:sz w:val="19"/>
        </w:rPr>
        <w:tab/>
        <w:t>Jan 2021 – Nov 2022</w:t>
      </w:r>
    </w:p>
    <w:p>
      <w:pPr>
        <w:spacing w:before="22" w:after="22" w:line="240" w:lineRule="auto"/>
        <w:ind w:left="360" w:hanging="180"/>
      </w:pPr>
      <w:r>
        <w:rPr>
          <w:color w:val="1A3A5C"/>
          <w:sz w:val="20"/>
        </w:rPr>
        <w:t xml:space="preserve">• </w:t>
      </w:r>
      <w:r>
        <w:rPr>
          <w:color w:val="1A1A1A"/>
          <w:sz w:val="20"/>
        </w:rPr>
        <w:t>Delivered compliance readiness programs, regulatory gap analyses, and privacy policy infrastructure for clients across multiple industries and jurisdictions.</w:t>
      </w:r>
    </w:p>
    <w:p>
      <w:pPr>
        <w:spacing w:before="130" w:after="44"/>
        <w:pBdr>
          <w:bottom w:val="single" w:sz="12" w:space="4" w:color="1A3A5C"/>
        </w:pBdr>
      </w:pPr>
      <w:r>
        <w:rPr>
          <w:rFonts w:ascii="Arial" w:hAnsi="Arial"/>
          <w:b/>
          <w:color w:val="1A3A5C"/>
          <w:sz w:val="19"/>
        </w:rPr>
        <w:t>CERTIFICATIONS</w:t>
      </w:r>
    </w:p>
    <w:p>
      <w:pPr>
        <w:spacing w:before="22" w:after="22" w:line="240" w:lineRule="auto"/>
        <w:ind w:left="360" w:hanging="180"/>
      </w:pPr>
      <w:r>
        <w:rPr>
          <w:color w:val="1A3A5C"/>
          <w:sz w:val="20"/>
        </w:rPr>
        <w:t xml:space="preserve">• </w:t>
      </w:r>
      <w:r>
        <w:rPr>
          <w:color w:val="1A1A1A"/>
          <w:sz w:val="20"/>
        </w:rPr>
        <w:t>ISO 42001 — AI Management System (led organizational certification)</w:t>
      </w:r>
    </w:p>
    <w:p>
      <w:pPr>
        <w:spacing w:before="22" w:after="22" w:line="240" w:lineRule="auto"/>
        <w:ind w:left="360" w:hanging="180"/>
      </w:pPr>
      <w:r>
        <w:rPr>
          <w:color w:val="1A3A5C"/>
          <w:sz w:val="20"/>
        </w:rPr>
        <w:t xml:space="preserve">• </w:t>
      </w:r>
      <w:r>
        <w:rPr>
          <w:color w:val="1A1A1A"/>
          <w:sz w:val="20"/>
        </w:rPr>
        <w:t>SOC 2 — Type II Audit Readiness &amp; Compliance</w:t>
      </w:r>
    </w:p>
    <w:p>
      <w:pPr>
        <w:spacing w:before="130" w:after="44"/>
        <w:pBdr>
          <w:bottom w:val="single" w:sz="12" w:space="4" w:color="1A3A5C"/>
        </w:pBdr>
      </w:pPr>
      <w:r>
        <w:rPr>
          <w:rFonts w:ascii="Arial" w:hAnsi="Arial"/>
          <w:b/>
          <w:color w:val="1A3A5C"/>
          <w:sz w:val="19"/>
        </w:rPr>
        <w:t>EDUCATION</w:t>
      </w:r>
    </w:p>
    <w:p>
      <w:pPr>
        <w:spacing w:before="40" w:after="20"/>
      </w:pPr>
      <w:r>
        <w:rPr>
          <w:b/>
          <w:color w:val="1A3A5C"/>
          <w:sz w:val="20"/>
        </w:rPr>
        <w:t xml:space="preserve">Master of Laws (LL.M.) </w:t>
      </w:r>
    </w:p>
    <w:p>
      <w:pPr>
        <w:spacing w:before="20" w:after="20"/>
      </w:pPr>
      <w:r>
        <w:rPr>
          <w:b/>
          <w:color w:val="1A3A5C"/>
          <w:sz w:val="20"/>
        </w:rPr>
        <w:t xml:space="preserve">B.A. LL.B. </w:t>
      </w:r>
      <w:r>
        <w:rPr>
          <w:color w:val="1A1A1A"/>
          <w:sz w:val="20"/>
        </w:rPr>
        <w:t>· Dual Degree — Law &amp; Liberal Arts</w:t>
      </w:r>
    </w:p>
    <w:p>
      <w:pPr>
        <w:spacing w:before="130" w:after="44"/>
        <w:pBdr>
          <w:bottom w:val="single" w:sz="12" w:space="4" w:color="1A3A5C"/>
        </w:pBdr>
      </w:pPr>
      <w:r>
        <w:rPr>
          <w:rFonts w:ascii="Arial" w:hAnsi="Arial"/>
          <w:b/>
          <w:color w:val="1A3A5C"/>
          <w:sz w:val="19"/>
        </w:rPr>
        <w:t>ADDITIONAL</w:t>
      </w:r>
    </w:p>
    <w:p>
      <w:pPr>
        <w:spacing w:before="20" w:after="20"/>
      </w:pPr>
      <w:r>
        <w:rPr>
          <w:color w:val="1A1A1A"/>
          <w:sz w:val="20"/>
        </w:rPr>
        <w:t>Permanent Resident of Canada — full-time work eligibility, no sponsorship required.</w:t>
      </w:r>
    </w:p>
    <w:sectPr w:rsidR="00FC693F" w:rsidRPr="0006063C" w:rsidSect="0003461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